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140885C8"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580B3F">
        <w:rPr>
          <w:rFonts w:ascii="Times New Roman" w:eastAsiaTheme="minorEastAsia" w:hAnsi="Times New Roman"/>
          <w:b/>
          <w:bCs/>
          <w:sz w:val="28"/>
          <w:szCs w:val="22"/>
          <w:lang w:val="en-US" w:eastAsia="zh-CN"/>
        </w:rPr>
        <w:t>6</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0A5B1C" w:rsidRPr="000A5B1C">
        <w:rPr>
          <w:rFonts w:ascii="Times New Roman" w:eastAsiaTheme="minorEastAsia" w:hAnsi="Times New Roman"/>
          <w:b/>
          <w:bCs/>
          <w:sz w:val="28"/>
          <w:szCs w:val="22"/>
          <w:lang w:val="en-US" w:eastAsia="zh-CN"/>
        </w:rPr>
        <w:t>R1-2400170</w:t>
      </w:r>
    </w:p>
    <w:p w14:paraId="1754E399" w14:textId="78534040" w:rsidR="00545F7E" w:rsidRPr="001910FE" w:rsidRDefault="001910FE"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1910FE">
        <w:rPr>
          <w:rFonts w:ascii="Times New Roman" w:eastAsia="MS Mincho" w:hAnsi="Times New Roman"/>
          <w:b/>
          <w:bCs/>
          <w:sz w:val="28"/>
          <w:lang w:eastAsia="ja-JP"/>
        </w:rPr>
        <w:t>Athens, Greece, February 26</w:t>
      </w:r>
      <w:r w:rsidRPr="001910FE">
        <w:rPr>
          <w:rFonts w:ascii="Times New Roman" w:eastAsia="Malgun Gothic" w:hAnsi="Times New Roman"/>
          <w:b/>
          <w:bCs/>
          <w:sz w:val="28"/>
          <w:vertAlign w:val="superscript"/>
          <w:lang w:eastAsia="ko-KR"/>
        </w:rPr>
        <w:t>th</w:t>
      </w:r>
      <w:r w:rsidRPr="001910FE">
        <w:rPr>
          <w:rFonts w:ascii="Times New Roman" w:eastAsia="MS Mincho" w:hAnsi="Times New Roman"/>
          <w:b/>
          <w:bCs/>
          <w:sz w:val="28"/>
          <w:lang w:eastAsia="ja-JP"/>
        </w:rPr>
        <w:t xml:space="preserve"> </w:t>
      </w:r>
      <w:r w:rsidRPr="001910FE">
        <w:rPr>
          <w:rFonts w:ascii="Times New Roman" w:hAnsi="Times New Roman"/>
          <w:b/>
          <w:bCs/>
          <w:sz w:val="28"/>
        </w:rPr>
        <w:t>– March 1</w:t>
      </w:r>
      <w:r w:rsidRPr="001910FE">
        <w:rPr>
          <w:rFonts w:ascii="Times New Roman" w:hAnsi="Times New Roman"/>
          <w:b/>
          <w:bCs/>
          <w:sz w:val="28"/>
          <w:vertAlign w:val="superscript"/>
        </w:rPr>
        <w:t>st</w:t>
      </w:r>
      <w:r w:rsidRPr="001910FE">
        <w:rPr>
          <w:rFonts w:ascii="Times New Roman" w:eastAsia="MS Mincho" w:hAnsi="Times New Roman"/>
          <w:b/>
          <w:bCs/>
          <w:sz w:val="28"/>
          <w:lang w:eastAsia="ja-JP"/>
        </w:rPr>
        <w:t>, 2024</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53BC2F12"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580B3F" w:rsidRPr="00580B3F">
        <w:rPr>
          <w:b/>
          <w:sz w:val="22"/>
          <w:lang w:eastAsia="zh-CN"/>
        </w:rPr>
        <w:t>Discussion on LS on RAN2 agreements for satellite switch with resync</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12C5E742" w:rsidR="00014A57" w:rsidRPr="00D25DF5" w:rsidRDefault="00014A57" w:rsidP="00014A57">
      <w:pPr>
        <w:rPr>
          <w:rFonts w:eastAsiaTheme="minorEastAsia"/>
          <w:sz w:val="22"/>
          <w:lang w:eastAsia="zh-CN"/>
        </w:rPr>
      </w:pPr>
      <w:bookmarkStart w:id="0"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EC433C" w:rsidRPr="00EC433C">
        <w:rPr>
          <w:rFonts w:hint="eastAsia"/>
          <w:sz w:val="22"/>
          <w:lang w:eastAsia="zh-CN"/>
        </w:rPr>
        <w:t>f</w:t>
      </w:r>
      <w:r w:rsidR="00EC433C" w:rsidRPr="00EC433C">
        <w:rPr>
          <w:sz w:val="22"/>
          <w:lang w:eastAsia="zh-CN"/>
        </w:rPr>
        <w:t>or the feasibility issue, RAN2 respectfully asks RAN1 to provide feedback if there are any concern.</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3DDACF85" w14:textId="041544D2" w:rsidR="00D25DF5" w:rsidRPr="00EC433C" w:rsidRDefault="00EC433C" w:rsidP="00EC433C">
            <w:pPr>
              <w:numPr>
                <w:ilvl w:val="1"/>
                <w:numId w:val="43"/>
              </w:numPr>
              <w:spacing w:before="120" w:line="276" w:lineRule="auto"/>
              <w:rPr>
                <w:rFonts w:ascii="Arial" w:eastAsia="宋体" w:hAnsi="Arial" w:cs="Arial"/>
                <w:color w:val="000000"/>
                <w:kern w:val="2"/>
                <w:sz w:val="21"/>
                <w:szCs w:val="22"/>
                <w:lang w:val="en-US" w:eastAsia="ko-KR"/>
              </w:rPr>
            </w:pPr>
            <w:r w:rsidRPr="00EC433C">
              <w:rPr>
                <w:rFonts w:ascii="Arial" w:eastAsia="宋体" w:hAnsi="Arial" w:cs="Arial"/>
                <w:color w:val="000000"/>
                <w:kern w:val="2"/>
                <w:sz w:val="21"/>
                <w:szCs w:val="22"/>
                <w:lang w:val="en-US" w:eastAsia="ko-KR"/>
              </w:rPr>
              <w:t xml:space="preserve">For soft satellite switch, </w:t>
            </w:r>
            <w:r w:rsidRPr="00EC433C">
              <w:rPr>
                <w:rFonts w:ascii="Arial" w:eastAsia="宋体" w:hAnsi="Arial" w:cs="Arial"/>
                <w:color w:val="000000"/>
                <w:kern w:val="2"/>
                <w:sz w:val="21"/>
                <w:szCs w:val="22"/>
                <w:highlight w:val="yellow"/>
                <w:lang w:val="en-US" w:eastAsia="ko-KR"/>
              </w:rPr>
              <w:t>RAN2 would like to get feedback on the feasibility</w:t>
            </w:r>
            <w:r w:rsidRPr="00EC433C">
              <w:rPr>
                <w:rFonts w:ascii="Arial" w:eastAsia="宋体" w:hAnsi="Arial" w:cs="Arial"/>
                <w:color w:val="000000"/>
                <w:kern w:val="2"/>
                <w:sz w:val="21"/>
                <w:szCs w:val="22"/>
                <w:lang w:val="en-US" w:eastAsia="ko-KR"/>
              </w:rPr>
              <w:t> that a UE supporting soft satellite switch can start synchronizing to the DL of the SpCell served by the target satellite while still being connected to the source satellite (without any simultaneous communication with the source and the target satellites).</w:t>
            </w: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0"/>
    <w:p w14:paraId="3649E785" w14:textId="6720A259" w:rsidR="007107AD" w:rsidRDefault="00014A57" w:rsidP="00504953">
      <w:pPr>
        <w:pStyle w:val="1"/>
        <w:rPr>
          <w:lang w:eastAsia="zh-CN"/>
        </w:rPr>
      </w:pPr>
      <w:r>
        <w:rPr>
          <w:lang w:eastAsia="zh-CN"/>
        </w:rPr>
        <w:t>Discussion</w:t>
      </w:r>
    </w:p>
    <w:p w14:paraId="3D8A2862" w14:textId="43B43223" w:rsidR="005C055C" w:rsidRDefault="005C055C" w:rsidP="00740D7C">
      <w:pPr>
        <w:jc w:val="both"/>
        <w:rPr>
          <w:rFonts w:eastAsiaTheme="minorEastAsia"/>
          <w:sz w:val="22"/>
          <w:lang w:eastAsia="zh-CN"/>
        </w:rPr>
      </w:pPr>
      <w:r w:rsidRPr="005C055C">
        <w:rPr>
          <w:rFonts w:eastAsiaTheme="minorEastAsia"/>
          <w:sz w:val="22"/>
          <w:lang w:eastAsia="zh-CN"/>
        </w:rPr>
        <w:t xml:space="preserve">In the current </w:t>
      </w:r>
      <w:r>
        <w:rPr>
          <w:rFonts w:eastAsiaTheme="minorEastAsia"/>
          <w:sz w:val="22"/>
          <w:lang w:eastAsia="zh-CN"/>
        </w:rPr>
        <w:t>specifications</w:t>
      </w:r>
      <w:r w:rsidRPr="005C055C">
        <w:rPr>
          <w:rFonts w:eastAsiaTheme="minorEastAsia"/>
          <w:sz w:val="22"/>
          <w:lang w:eastAsia="zh-CN"/>
        </w:rPr>
        <w:t xml:space="preserve">, UE can perform same frequency/different frequency cell measurements based on measurement configurations in </w:t>
      </w:r>
      <w:r>
        <w:rPr>
          <w:rFonts w:eastAsiaTheme="minorEastAsia"/>
          <w:sz w:val="22"/>
          <w:lang w:eastAsia="zh-CN"/>
        </w:rPr>
        <w:t>RRC CONNECTED mode</w:t>
      </w:r>
      <w:r w:rsidR="00283F98" w:rsidRPr="00283F98">
        <w:t xml:space="preserve"> </w:t>
      </w:r>
      <w:r w:rsidR="00283F98" w:rsidRPr="00283F98">
        <w:rPr>
          <w:rFonts w:eastAsiaTheme="minorEastAsia"/>
          <w:sz w:val="22"/>
          <w:lang w:eastAsia="zh-CN"/>
        </w:rPr>
        <w:t>while still being connected to</w:t>
      </w:r>
      <w:r w:rsidR="00283F98">
        <w:rPr>
          <w:rFonts w:eastAsiaTheme="minorEastAsia"/>
          <w:sz w:val="22"/>
          <w:lang w:eastAsia="zh-CN"/>
        </w:rPr>
        <w:t xml:space="preserve"> serving cell</w:t>
      </w:r>
      <w:r w:rsidRPr="005C055C">
        <w:rPr>
          <w:rFonts w:eastAsiaTheme="minorEastAsia"/>
          <w:sz w:val="22"/>
          <w:lang w:eastAsia="zh-CN"/>
        </w:rPr>
        <w:t>.</w:t>
      </w:r>
    </w:p>
    <w:p w14:paraId="6A011914" w14:textId="7CB03ABE" w:rsidR="00D25DF5" w:rsidRPr="00740D7C" w:rsidRDefault="00740D7C" w:rsidP="00740D7C">
      <w:pPr>
        <w:jc w:val="both"/>
        <w:rPr>
          <w:rFonts w:eastAsiaTheme="minorEastAsia"/>
          <w:sz w:val="22"/>
          <w:lang w:eastAsia="zh-CN"/>
        </w:rPr>
      </w:pPr>
      <w:r>
        <w:rPr>
          <w:rFonts w:eastAsiaTheme="minorEastAsia"/>
          <w:sz w:val="22"/>
          <w:lang w:eastAsia="zh-CN"/>
        </w:rPr>
        <w:t>I</w:t>
      </w:r>
      <w:r w:rsidR="005C055C">
        <w:rPr>
          <w:rFonts w:eastAsiaTheme="minorEastAsia" w:hint="eastAsia"/>
          <w:sz w:val="22"/>
          <w:lang w:eastAsia="zh-CN"/>
        </w:rPr>
        <w:t>n</w:t>
      </w:r>
      <w:r w:rsidR="005C055C">
        <w:rPr>
          <w:rFonts w:eastAsiaTheme="minorEastAsia"/>
          <w:sz w:val="22"/>
          <w:lang w:eastAsia="zh-CN"/>
        </w:rPr>
        <w:t xml:space="preserve"> </w:t>
      </w:r>
      <w:r w:rsidR="005C055C" w:rsidRPr="005C055C">
        <w:rPr>
          <w:rFonts w:eastAsiaTheme="minorEastAsia"/>
          <w:sz w:val="22"/>
          <w:lang w:eastAsia="zh-CN"/>
        </w:rPr>
        <w:t xml:space="preserve">RACH-less satellite switch procedure, </w:t>
      </w:r>
      <w:r w:rsidRPr="00740D7C">
        <w:rPr>
          <w:rFonts w:eastAsiaTheme="minorEastAsia"/>
          <w:sz w:val="22"/>
          <w:lang w:eastAsia="zh-CN"/>
        </w:rPr>
        <w:t xml:space="preserve">UE </w:t>
      </w:r>
      <w:r w:rsidR="005C055C">
        <w:rPr>
          <w:rFonts w:eastAsiaTheme="minorEastAsia"/>
          <w:sz w:val="22"/>
          <w:lang w:eastAsia="zh-CN"/>
        </w:rPr>
        <w:t>can receive</w:t>
      </w:r>
      <w:r w:rsidRPr="00740D7C">
        <w:rPr>
          <w:rFonts w:eastAsiaTheme="minorEastAsia"/>
          <w:sz w:val="22"/>
          <w:lang w:eastAsia="zh-CN"/>
        </w:rPr>
        <w:t xml:space="preserve"> SIB19 in source SAT-1, containing the information required for RACH-less satellite switch to the target satellite, e.g. NTN-config of target satellite, SSB index (optional), SSB time offset (optional).</w:t>
      </w:r>
      <w:r w:rsidR="005C055C">
        <w:rPr>
          <w:rFonts w:eastAsiaTheme="minorEastAsia"/>
          <w:sz w:val="22"/>
          <w:lang w:eastAsia="zh-CN"/>
        </w:rPr>
        <w:t xml:space="preserve"> Similar as RRM measurement in RRC CONNECTED mode,</w:t>
      </w:r>
      <w:r w:rsidR="005C055C">
        <w:t xml:space="preserve"> </w:t>
      </w:r>
      <w:r w:rsidR="005C055C" w:rsidRPr="005C055C">
        <w:rPr>
          <w:rFonts w:eastAsiaTheme="minorEastAsia"/>
          <w:sz w:val="22"/>
          <w:lang w:eastAsia="zh-CN"/>
        </w:rPr>
        <w:t xml:space="preserve">UE </w:t>
      </w:r>
      <w:r w:rsidR="005C055C">
        <w:rPr>
          <w:rFonts w:eastAsiaTheme="minorEastAsia"/>
          <w:sz w:val="22"/>
          <w:lang w:eastAsia="zh-CN"/>
        </w:rPr>
        <w:t>can detect</w:t>
      </w:r>
      <w:r w:rsidR="005C055C" w:rsidRPr="005C055C">
        <w:rPr>
          <w:rFonts w:eastAsiaTheme="minorEastAsia"/>
          <w:sz w:val="22"/>
          <w:lang w:eastAsia="zh-CN"/>
        </w:rPr>
        <w:t xml:space="preserve"> the DL sync of target satellite based on the provided SSB time offset</w:t>
      </w:r>
      <w:r w:rsidR="005C055C" w:rsidRPr="005C055C">
        <w:t xml:space="preserve"> </w:t>
      </w:r>
      <w:r w:rsidR="005C055C" w:rsidRPr="005C055C">
        <w:rPr>
          <w:rFonts w:eastAsiaTheme="minorEastAsia"/>
          <w:sz w:val="22"/>
          <w:lang w:eastAsia="zh-CN"/>
        </w:rPr>
        <w:t>while still being connected to the source satellite</w:t>
      </w:r>
      <w:r w:rsidR="005C055C">
        <w:rPr>
          <w:rFonts w:eastAsiaTheme="minorEastAsia"/>
          <w:sz w:val="22"/>
          <w:lang w:eastAsia="zh-CN"/>
        </w:rPr>
        <w:t>.</w:t>
      </w:r>
    </w:p>
    <w:p w14:paraId="0F88C99D" w14:textId="439AD83D" w:rsidR="009F65D2" w:rsidRDefault="009F65D2" w:rsidP="009F65D2">
      <w:pPr>
        <w:rPr>
          <w:rFonts w:eastAsiaTheme="minorEastAsia"/>
          <w:lang w:eastAsia="zh-CN"/>
        </w:rPr>
      </w:pPr>
    </w:p>
    <w:p w14:paraId="266661EC" w14:textId="023E3B0D" w:rsidR="00A012FE" w:rsidRDefault="00A012FE" w:rsidP="009F65D2">
      <w:pPr>
        <w:rPr>
          <w:rFonts w:eastAsiaTheme="minorEastAsia"/>
          <w:lang w:eastAsia="zh-CN"/>
        </w:rPr>
      </w:pPr>
      <w:r w:rsidRPr="00A012FE">
        <w:rPr>
          <w:rFonts w:ascii="Times New Roman" w:eastAsia="宋体" w:hAnsi="Times New Roman"/>
          <w:noProof/>
          <w:sz w:val="24"/>
          <w:lang w:val="en-US" w:eastAsia="zh-CN"/>
        </w:rPr>
        <w:drawing>
          <wp:inline distT="0" distB="0" distL="0" distR="0" wp14:anchorId="70799342" wp14:editId="4EF66C5C">
            <wp:extent cx="5916295" cy="2799999"/>
            <wp:effectExtent l="0" t="0" r="8255" b="635"/>
            <wp:docPr id="3" name="图片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2799999"/>
                    </a:xfrm>
                    <a:prstGeom prst="rect">
                      <a:avLst/>
                    </a:prstGeom>
                    <a:noFill/>
                    <a:ln>
                      <a:noFill/>
                    </a:ln>
                  </pic:spPr>
                </pic:pic>
              </a:graphicData>
            </a:graphic>
          </wp:inline>
        </w:drawing>
      </w:r>
    </w:p>
    <w:p w14:paraId="286C01F2" w14:textId="49838D9D" w:rsidR="00740D7C" w:rsidRPr="00740D7C" w:rsidRDefault="00740D7C" w:rsidP="00740D7C">
      <w:pPr>
        <w:jc w:val="center"/>
        <w:rPr>
          <w:rFonts w:eastAsiaTheme="minorEastAsia"/>
          <w:b/>
          <w:lang w:eastAsia="zh-CN"/>
        </w:rPr>
      </w:pPr>
      <w:r w:rsidRPr="00740D7C">
        <w:rPr>
          <w:rFonts w:eastAsiaTheme="minorEastAsia"/>
          <w:b/>
          <w:lang w:eastAsia="zh-CN"/>
        </w:rPr>
        <w:t>Figure-1. RACH-less satellite switch procedure</w:t>
      </w:r>
    </w:p>
    <w:p w14:paraId="39AE582D" w14:textId="2E7B7264" w:rsidR="00A012FE" w:rsidRPr="005C055C" w:rsidRDefault="005C055C" w:rsidP="009F65D2">
      <w:pPr>
        <w:rPr>
          <w:rFonts w:eastAsiaTheme="minorEastAsia"/>
          <w:b/>
          <w:i/>
          <w:sz w:val="22"/>
          <w:lang w:eastAsia="zh-CN"/>
        </w:rPr>
      </w:pPr>
      <w:r w:rsidRPr="005C055C">
        <w:rPr>
          <w:rFonts w:eastAsiaTheme="minorEastAsia"/>
          <w:b/>
          <w:i/>
          <w:sz w:val="22"/>
          <w:lang w:eastAsia="zh-CN"/>
        </w:rPr>
        <w:t>Conclusion:</w:t>
      </w:r>
    </w:p>
    <w:p w14:paraId="50E03B39" w14:textId="3B10241A" w:rsidR="005C055C" w:rsidRDefault="00397162" w:rsidP="009F65D2">
      <w:pPr>
        <w:rPr>
          <w:rFonts w:eastAsiaTheme="minorEastAsia"/>
          <w:b/>
          <w:i/>
          <w:sz w:val="22"/>
          <w:lang w:eastAsia="zh-CN"/>
        </w:rPr>
      </w:pPr>
      <w:r>
        <w:rPr>
          <w:rFonts w:eastAsiaTheme="minorEastAsia"/>
          <w:b/>
          <w:i/>
          <w:sz w:val="22"/>
          <w:lang w:eastAsia="zh-CN"/>
        </w:rPr>
        <w:t>A</w:t>
      </w:r>
      <w:r w:rsidRPr="00397162">
        <w:rPr>
          <w:rFonts w:eastAsiaTheme="minorEastAsia"/>
          <w:b/>
          <w:i/>
          <w:sz w:val="22"/>
          <w:lang w:eastAsia="zh-CN"/>
        </w:rPr>
        <w:t xml:space="preserve"> UE supporting soft satellite switch </w:t>
      </w:r>
      <w:r w:rsidR="005C055C" w:rsidRPr="005C055C">
        <w:rPr>
          <w:rFonts w:eastAsiaTheme="minorEastAsia"/>
          <w:b/>
          <w:i/>
          <w:sz w:val="22"/>
          <w:lang w:eastAsia="zh-CN"/>
        </w:rPr>
        <w:t xml:space="preserve">can detect the DL sync of </w:t>
      </w:r>
      <w:r w:rsidRPr="00397162">
        <w:rPr>
          <w:rFonts w:eastAsiaTheme="minorEastAsia"/>
          <w:b/>
          <w:i/>
          <w:sz w:val="22"/>
          <w:lang w:eastAsia="zh-CN"/>
        </w:rPr>
        <w:t>the SpCell served by the target satellite</w:t>
      </w:r>
      <w:r w:rsidR="005C055C" w:rsidRPr="005C055C">
        <w:rPr>
          <w:rFonts w:eastAsiaTheme="minorEastAsia"/>
          <w:b/>
          <w:i/>
          <w:sz w:val="22"/>
          <w:lang w:eastAsia="zh-CN"/>
        </w:rPr>
        <w:t xml:space="preserve"> while still being connected to the source satellite.</w:t>
      </w:r>
    </w:p>
    <w:p w14:paraId="20D17B12" w14:textId="77777777" w:rsidR="005C055C" w:rsidRPr="005C055C" w:rsidRDefault="005C055C" w:rsidP="009F65D2">
      <w:pPr>
        <w:rPr>
          <w:rFonts w:eastAsiaTheme="minorEastAsia"/>
          <w:b/>
          <w:i/>
          <w:sz w:val="22"/>
          <w:lang w:eastAsia="zh-CN"/>
        </w:rPr>
      </w:pPr>
    </w:p>
    <w:p w14:paraId="4D4DBF88" w14:textId="77777777" w:rsidR="00041F51" w:rsidRPr="00041F51" w:rsidRDefault="00041F51" w:rsidP="00041F51">
      <w:pPr>
        <w:pStyle w:val="1"/>
      </w:pPr>
      <w:r w:rsidRPr="00041F51">
        <w:t>Conclusion</w:t>
      </w:r>
    </w:p>
    <w:p w14:paraId="38B60FEC" w14:textId="654D99B4"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following </w:t>
      </w:r>
      <w:r w:rsidR="005C055C">
        <w:rPr>
          <w:sz w:val="22"/>
          <w:lang w:eastAsia="zh-CN"/>
        </w:rPr>
        <w:t>c</w:t>
      </w:r>
      <w:r w:rsidR="005C055C" w:rsidRPr="005C055C">
        <w:rPr>
          <w:sz w:val="22"/>
          <w:lang w:eastAsia="zh-CN"/>
        </w:rPr>
        <w:t>onclusion</w:t>
      </w:r>
      <w:r w:rsidR="00B97591" w:rsidRPr="009E23C1">
        <w:rPr>
          <w:sz w:val="22"/>
          <w:lang w:eastAsia="zh-CN"/>
        </w:rPr>
        <w:t>:</w:t>
      </w:r>
    </w:p>
    <w:p w14:paraId="5D5A9AF2" w14:textId="77777777" w:rsidR="005C055C" w:rsidRPr="005C055C" w:rsidRDefault="005C055C" w:rsidP="005C055C">
      <w:pPr>
        <w:rPr>
          <w:rFonts w:eastAsiaTheme="minorEastAsia"/>
          <w:b/>
          <w:i/>
          <w:sz w:val="22"/>
          <w:lang w:eastAsia="zh-CN"/>
        </w:rPr>
      </w:pPr>
      <w:r w:rsidRPr="005C055C">
        <w:rPr>
          <w:rFonts w:eastAsiaTheme="minorEastAsia"/>
          <w:b/>
          <w:i/>
          <w:sz w:val="22"/>
          <w:lang w:eastAsia="zh-CN"/>
        </w:rPr>
        <w:lastRenderedPageBreak/>
        <w:t>Conclusion:</w:t>
      </w:r>
    </w:p>
    <w:p w14:paraId="56CAD96E" w14:textId="714A51C9" w:rsidR="00EC433C" w:rsidRDefault="00397162" w:rsidP="004A556B">
      <w:pPr>
        <w:tabs>
          <w:tab w:val="center" w:pos="4153"/>
          <w:tab w:val="right" w:pos="8306"/>
        </w:tabs>
        <w:spacing w:after="120"/>
        <w:jc w:val="both"/>
        <w:rPr>
          <w:rFonts w:eastAsiaTheme="minorEastAsia"/>
          <w:b/>
          <w:i/>
          <w:sz w:val="22"/>
          <w:lang w:eastAsia="zh-CN"/>
        </w:rPr>
      </w:pPr>
      <w:r w:rsidRPr="00397162">
        <w:rPr>
          <w:rFonts w:eastAsiaTheme="minorEastAsia"/>
          <w:b/>
          <w:i/>
          <w:sz w:val="22"/>
          <w:lang w:eastAsia="zh-CN"/>
        </w:rPr>
        <w:t>A UE supporting soft satellite switch can detect the DL sync of the SpCell served by the target satellite while still being connected to the source satellite.</w:t>
      </w:r>
    </w:p>
    <w:p w14:paraId="4B30772B" w14:textId="77777777" w:rsidR="00F52EC5" w:rsidRPr="005C055C" w:rsidRDefault="00F52EC5" w:rsidP="004A556B">
      <w:pPr>
        <w:tabs>
          <w:tab w:val="center" w:pos="4153"/>
          <w:tab w:val="right" w:pos="8306"/>
        </w:tabs>
        <w:spacing w:after="120"/>
        <w:jc w:val="both"/>
        <w:rPr>
          <w:rFonts w:ascii="Times New Roman" w:eastAsiaTheme="minorEastAsia" w:hAnsi="Times New Roman"/>
          <w:b/>
          <w:i/>
          <w:sz w:val="22"/>
          <w:szCs w:val="22"/>
          <w:lang w:eastAsia="zh-CN"/>
        </w:rPr>
      </w:pPr>
    </w:p>
    <w:p w14:paraId="5F87FB0A" w14:textId="77777777" w:rsidR="00041F51" w:rsidRPr="00041F51" w:rsidRDefault="00041F51" w:rsidP="00041F51">
      <w:pPr>
        <w:pStyle w:val="1"/>
      </w:pPr>
      <w:r w:rsidRPr="00041F51">
        <w:t>Reference</w:t>
      </w:r>
    </w:p>
    <w:p w14:paraId="2D212F2B" w14:textId="3616E02A" w:rsidR="00711B2E" w:rsidRPr="00DA049E" w:rsidRDefault="00185C90" w:rsidP="00EC433C">
      <w:pPr>
        <w:pStyle w:val="af2"/>
        <w:numPr>
          <w:ilvl w:val="0"/>
          <w:numId w:val="18"/>
        </w:numPr>
        <w:autoSpaceDE w:val="0"/>
        <w:autoSpaceDN w:val="0"/>
        <w:adjustRightInd w:val="0"/>
        <w:snapToGrid w:val="0"/>
        <w:spacing w:after="120"/>
        <w:ind w:firstLineChars="0"/>
        <w:jc w:val="both"/>
        <w:rPr>
          <w:sz w:val="22"/>
          <w:szCs w:val="20"/>
          <w:lang w:eastAsia="zh-CN"/>
        </w:rPr>
      </w:pPr>
      <w:r w:rsidRPr="00185C90">
        <w:rPr>
          <w:sz w:val="22"/>
          <w:szCs w:val="20"/>
          <w:lang w:eastAsia="zh-CN"/>
        </w:rPr>
        <w:t>R1-2</w:t>
      </w:r>
      <w:r w:rsidR="00EC433C">
        <w:rPr>
          <w:sz w:val="22"/>
          <w:szCs w:val="20"/>
          <w:lang w:eastAsia="zh-CN"/>
        </w:rPr>
        <w:t>400009</w:t>
      </w:r>
      <w:r w:rsidR="009469FB" w:rsidRPr="00544EC8">
        <w:rPr>
          <w:sz w:val="22"/>
          <w:szCs w:val="20"/>
          <w:lang w:eastAsia="zh-CN"/>
        </w:rPr>
        <w:t>, “</w:t>
      </w:r>
      <w:r w:rsidR="00EC433C" w:rsidRPr="00EC433C">
        <w:rPr>
          <w:sz w:val="22"/>
          <w:szCs w:val="20"/>
          <w:lang w:eastAsia="zh-CN"/>
        </w:rPr>
        <w:t>LS on RAN2 agreements for satellite switch with resync</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bookmarkStart w:id="1" w:name="_GoBack"/>
      <w:bookmarkEnd w:id="1"/>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E08FA" w14:textId="77777777" w:rsidR="00063221" w:rsidRDefault="00063221">
      <w:r>
        <w:separator/>
      </w:r>
    </w:p>
  </w:endnote>
  <w:endnote w:type="continuationSeparator" w:id="0">
    <w:p w14:paraId="60345ACF" w14:textId="77777777" w:rsidR="00063221" w:rsidRDefault="00063221">
      <w:r>
        <w:continuationSeparator/>
      </w:r>
    </w:p>
  </w:endnote>
  <w:endnote w:type="continuationNotice" w:id="1">
    <w:p w14:paraId="56A45043" w14:textId="77777777" w:rsidR="00063221" w:rsidRDefault="00063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5F626" w14:textId="77777777" w:rsidR="00063221" w:rsidRDefault="00063221">
      <w:r>
        <w:separator/>
      </w:r>
    </w:p>
  </w:footnote>
  <w:footnote w:type="continuationSeparator" w:id="0">
    <w:p w14:paraId="4B4AD24B" w14:textId="77777777" w:rsidR="00063221" w:rsidRDefault="00063221">
      <w:r>
        <w:continuationSeparator/>
      </w:r>
    </w:p>
  </w:footnote>
  <w:footnote w:type="continuationNotice" w:id="1">
    <w:p w14:paraId="1139A131" w14:textId="77777777" w:rsidR="00063221" w:rsidRDefault="0006322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31"/>
  </w:num>
  <w:num w:numId="4">
    <w:abstractNumId w:val="33"/>
  </w:num>
  <w:num w:numId="5">
    <w:abstractNumId w:val="25"/>
  </w:num>
  <w:num w:numId="6">
    <w:abstractNumId w:val="20"/>
  </w:num>
  <w:num w:numId="7">
    <w:abstractNumId w:val="35"/>
  </w:num>
  <w:num w:numId="8">
    <w:abstractNumId w:val="0"/>
  </w:num>
  <w:num w:numId="9">
    <w:abstractNumId w:val="22"/>
  </w:num>
  <w:num w:numId="10">
    <w:abstractNumId w:val="3"/>
  </w:num>
  <w:num w:numId="11">
    <w:abstractNumId w:val="27"/>
  </w:num>
  <w:num w:numId="12">
    <w:abstractNumId w:val="18"/>
  </w:num>
  <w:num w:numId="13">
    <w:abstractNumId w:val="28"/>
  </w:num>
  <w:num w:numId="14">
    <w:abstractNumId w:val="23"/>
  </w:num>
  <w:num w:numId="15">
    <w:abstractNumId w:val="9"/>
  </w:num>
  <w:num w:numId="16">
    <w:abstractNumId w:val="17"/>
  </w:num>
  <w:num w:numId="17">
    <w:abstractNumId w:val="24"/>
  </w:num>
  <w:num w:numId="18">
    <w:abstractNumId w:val="10"/>
  </w:num>
  <w:num w:numId="19">
    <w:abstractNumId w:val="6"/>
  </w:num>
  <w:num w:numId="20">
    <w:abstractNumId w:val="8"/>
  </w:num>
  <w:num w:numId="21">
    <w:abstractNumId w:val="15"/>
  </w:num>
  <w:num w:numId="22">
    <w:abstractNumId w:val="34"/>
  </w:num>
  <w:num w:numId="23">
    <w:abstractNumId w:val="1"/>
  </w:num>
  <w:num w:numId="24">
    <w:abstractNumId w:val="26"/>
  </w:num>
  <w:num w:numId="25">
    <w:abstractNumId w:val="36"/>
  </w:num>
  <w:num w:numId="26">
    <w:abstractNumId w:val="29"/>
  </w:num>
  <w:num w:numId="27">
    <w:abstractNumId w:val="7"/>
  </w:num>
  <w:num w:numId="28">
    <w:abstractNumId w:val="21"/>
  </w:num>
  <w:num w:numId="29">
    <w:abstractNumId w:val="25"/>
  </w:num>
  <w:num w:numId="30">
    <w:abstractNumId w:val="25"/>
  </w:num>
  <w:num w:numId="31">
    <w:abstractNumId w:val="25"/>
  </w:num>
  <w:num w:numId="32">
    <w:abstractNumId w:val="12"/>
  </w:num>
  <w:num w:numId="33">
    <w:abstractNumId w:val="4"/>
  </w:num>
  <w:num w:numId="34">
    <w:abstractNumId w:val="2"/>
  </w:num>
  <w:num w:numId="35">
    <w:abstractNumId w:val="13"/>
  </w:num>
  <w:num w:numId="36">
    <w:abstractNumId w:val="25"/>
  </w:num>
  <w:num w:numId="37">
    <w:abstractNumId w:val="30"/>
  </w:num>
  <w:num w:numId="38">
    <w:abstractNumId w:val="19"/>
  </w:num>
  <w:num w:numId="39">
    <w:abstractNumId w:val="32"/>
  </w:num>
  <w:num w:numId="40">
    <w:abstractNumId w:val="38"/>
  </w:num>
  <w:num w:numId="41">
    <w:abstractNumId w:val="11"/>
  </w:num>
  <w:num w:numId="42">
    <w:abstractNumId w:val="14"/>
  </w:num>
  <w:num w:numId="4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17878-4839-4311-B6A5-48D1B5F53E0A}">
  <ds:schemaRefs>
    <ds:schemaRef ds:uri="http://schemas.openxmlformats.org/officeDocument/2006/bibliography"/>
  </ds:schemaRefs>
</ds:datastoreItem>
</file>

<file path=customXml/itemProps2.xml><?xml version="1.0" encoding="utf-8"?>
<ds:datastoreItem xmlns:ds="http://schemas.openxmlformats.org/officeDocument/2006/customXml" ds:itemID="{714D02E9-68D7-46A1-922F-C6232FAFED9F}">
  <ds:schemaRefs>
    <ds:schemaRef ds:uri="http://schemas.openxmlformats.org/officeDocument/2006/bibliography"/>
  </ds:schemaRefs>
</ds:datastoreItem>
</file>

<file path=customXml/itemProps3.xml><?xml version="1.0" encoding="utf-8"?>
<ds:datastoreItem xmlns:ds="http://schemas.openxmlformats.org/officeDocument/2006/customXml" ds:itemID="{D4E9F92C-7F71-4534-A0D7-AC3F3FDD3F61}">
  <ds:schemaRefs>
    <ds:schemaRef ds:uri="http://schemas.openxmlformats.org/officeDocument/2006/bibliography"/>
  </ds:schemaRefs>
</ds:datastoreItem>
</file>

<file path=customXml/itemProps4.xml><?xml version="1.0" encoding="utf-8"?>
<ds:datastoreItem xmlns:ds="http://schemas.openxmlformats.org/officeDocument/2006/customXml" ds:itemID="{782EC8EC-6E77-47C4-8E19-E4AB8343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168</cp:revision>
  <cp:lastPrinted>2015-03-27T14:25:00Z</cp:lastPrinted>
  <dcterms:created xsi:type="dcterms:W3CDTF">2022-01-11T09:31:00Z</dcterms:created>
  <dcterms:modified xsi:type="dcterms:W3CDTF">2024-02-19T11:09:00Z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